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3875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bCs/>
          <w:sz w:val="32"/>
          <w:szCs w:val="32"/>
        </w:rPr>
      </w:pPr>
      <w:r>
        <w:rPr>
          <w:rFonts w:hint="eastAsia" w:ascii="仿宋" w:hAnsi="仿宋" w:eastAsia="仿宋" w:cs="仿宋"/>
          <w:b/>
          <w:bCs/>
          <w:sz w:val="32"/>
          <w:szCs w:val="32"/>
        </w:rPr>
        <w:t>附件1：维保设备清单</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0"/>
        <w:gridCol w:w="2350"/>
        <w:gridCol w:w="5289"/>
      </w:tblGrid>
      <w:tr w14:paraId="0637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920" w:type="dxa"/>
            <w:noWrap w:val="0"/>
            <w:vAlign w:val="top"/>
          </w:tcPr>
          <w:p w14:paraId="31BA404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vertAlign w:val="baseline"/>
              </w:rPr>
            </w:pPr>
            <w:r>
              <w:rPr>
                <w:rFonts w:hint="eastAsia" w:ascii="仿宋" w:hAnsi="仿宋" w:eastAsia="仿宋" w:cs="仿宋"/>
                <w:sz w:val="32"/>
                <w:szCs w:val="32"/>
              </w:rPr>
              <w:t>序号</w:t>
            </w:r>
          </w:p>
        </w:tc>
        <w:tc>
          <w:tcPr>
            <w:tcW w:w="2350" w:type="dxa"/>
            <w:noWrap w:val="0"/>
            <w:vAlign w:val="top"/>
          </w:tcPr>
          <w:p w14:paraId="62B899C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vertAlign w:val="baseline"/>
              </w:rPr>
            </w:pPr>
            <w:r>
              <w:rPr>
                <w:rFonts w:hint="eastAsia" w:ascii="仿宋" w:hAnsi="仿宋" w:eastAsia="仿宋" w:cs="仿宋"/>
                <w:sz w:val="32"/>
                <w:szCs w:val="32"/>
              </w:rPr>
              <w:t>位置</w:t>
            </w:r>
          </w:p>
        </w:tc>
        <w:tc>
          <w:tcPr>
            <w:tcW w:w="5289" w:type="dxa"/>
            <w:noWrap w:val="0"/>
            <w:vAlign w:val="top"/>
          </w:tcPr>
          <w:p w14:paraId="3993FB6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vertAlign w:val="baseline"/>
              </w:rPr>
            </w:pPr>
            <w:r>
              <w:rPr>
                <w:rFonts w:hint="eastAsia" w:ascii="仿宋" w:hAnsi="仿宋" w:eastAsia="仿宋" w:cs="仿宋"/>
                <w:sz w:val="32"/>
                <w:szCs w:val="32"/>
              </w:rPr>
              <w:t>设备数量明细</w:t>
            </w:r>
          </w:p>
        </w:tc>
      </w:tr>
      <w:tr w14:paraId="1F64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4" w:hRule="atLeast"/>
          <w:jc w:val="center"/>
        </w:trPr>
        <w:tc>
          <w:tcPr>
            <w:tcW w:w="920" w:type="dxa"/>
            <w:noWrap w:val="0"/>
            <w:vAlign w:val="center"/>
          </w:tcPr>
          <w:p w14:paraId="4ECEA3C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w:t>
            </w:r>
          </w:p>
        </w:tc>
        <w:tc>
          <w:tcPr>
            <w:tcW w:w="2350" w:type="dxa"/>
            <w:noWrap w:val="0"/>
            <w:vAlign w:val="center"/>
          </w:tcPr>
          <w:p w14:paraId="6A9C1D8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4号楼</w:t>
            </w:r>
          </w:p>
        </w:tc>
        <w:tc>
          <w:tcPr>
            <w:tcW w:w="5289" w:type="dxa"/>
            <w:noWrap w:val="0"/>
            <w:vAlign w:val="center"/>
          </w:tcPr>
          <w:p w14:paraId="2F952EB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vertAlign w:val="baseline"/>
              </w:rPr>
            </w:pPr>
            <w:r>
              <w:rPr>
                <w:rFonts w:hint="eastAsia" w:ascii="仿宋" w:hAnsi="仿宋" w:eastAsia="仿宋" w:cs="仿宋"/>
                <w:sz w:val="32"/>
                <w:szCs w:val="32"/>
              </w:rPr>
              <w:t>中央空调主机10台；</w:t>
            </w:r>
            <w:r>
              <w:rPr>
                <w:rFonts w:hint="eastAsia" w:ascii="仿宋" w:hAnsi="仿宋" w:eastAsia="仿宋" w:cs="仿宋"/>
                <w:sz w:val="32"/>
                <w:szCs w:val="32"/>
                <w:lang w:val="en-US" w:eastAsia="zh-CN"/>
              </w:rPr>
              <w:t>ICU</w:t>
            </w:r>
            <w:r>
              <w:rPr>
                <w:rFonts w:hint="eastAsia" w:ascii="仿宋" w:hAnsi="仿宋" w:eastAsia="仿宋" w:cs="仿宋"/>
                <w:sz w:val="32"/>
                <w:szCs w:val="32"/>
              </w:rPr>
              <w:t>主机2台；层流风机18台；新风机19台；风机盘管268台；水泵6台</w:t>
            </w:r>
          </w:p>
        </w:tc>
      </w:tr>
      <w:tr w14:paraId="794CC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 w:hRule="atLeast"/>
          <w:jc w:val="center"/>
        </w:trPr>
        <w:tc>
          <w:tcPr>
            <w:tcW w:w="920" w:type="dxa"/>
            <w:noWrap w:val="0"/>
            <w:vAlign w:val="center"/>
          </w:tcPr>
          <w:p w14:paraId="391C5EB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2</w:t>
            </w:r>
          </w:p>
        </w:tc>
        <w:tc>
          <w:tcPr>
            <w:tcW w:w="2350" w:type="dxa"/>
            <w:noWrap w:val="0"/>
            <w:vAlign w:val="center"/>
          </w:tcPr>
          <w:p w14:paraId="6DD96D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6号楼</w:t>
            </w:r>
          </w:p>
        </w:tc>
        <w:tc>
          <w:tcPr>
            <w:tcW w:w="5289" w:type="dxa"/>
            <w:noWrap w:val="0"/>
            <w:vAlign w:val="center"/>
          </w:tcPr>
          <w:p w14:paraId="5B5F4C4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vertAlign w:val="baseline"/>
              </w:rPr>
            </w:pPr>
            <w:r>
              <w:rPr>
                <w:rFonts w:hint="eastAsia" w:ascii="仿宋" w:hAnsi="仿宋" w:eastAsia="仿宋" w:cs="仿宋"/>
                <w:sz w:val="32"/>
                <w:szCs w:val="32"/>
              </w:rPr>
              <w:t>中央空调主机17台；新风机11台；吸顶机37台；风机盘管90台</w:t>
            </w:r>
          </w:p>
        </w:tc>
      </w:tr>
      <w:tr w14:paraId="0954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920" w:type="dxa"/>
            <w:noWrap w:val="0"/>
            <w:vAlign w:val="center"/>
          </w:tcPr>
          <w:p w14:paraId="3E43A94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3</w:t>
            </w:r>
          </w:p>
        </w:tc>
        <w:tc>
          <w:tcPr>
            <w:tcW w:w="2350" w:type="dxa"/>
            <w:noWrap w:val="0"/>
            <w:vAlign w:val="center"/>
          </w:tcPr>
          <w:p w14:paraId="58DAC39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院内其他位置</w:t>
            </w:r>
          </w:p>
        </w:tc>
        <w:tc>
          <w:tcPr>
            <w:tcW w:w="5289" w:type="dxa"/>
            <w:noWrap w:val="0"/>
            <w:vAlign w:val="center"/>
          </w:tcPr>
          <w:p w14:paraId="4B447A3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vertAlign w:val="baseline"/>
              </w:rPr>
            </w:pPr>
            <w:r>
              <w:rPr>
                <w:rFonts w:hint="eastAsia" w:ascii="仿宋" w:hAnsi="仿宋" w:eastAsia="仿宋" w:cs="仿宋"/>
                <w:sz w:val="32"/>
                <w:szCs w:val="32"/>
              </w:rPr>
              <w:t>分体空调227台；精密空调2台</w:t>
            </w:r>
          </w:p>
        </w:tc>
      </w:tr>
    </w:tbl>
    <w:p w14:paraId="6BDA37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3EB1C5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553FF2A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609C4FC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2410231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1B5CAF7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0C7524A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036D2D0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4B57CE9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6F279AF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32AE71C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7271C00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39B61EA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4EED86C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442F1BF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附件2：维保服务详细技术要求</w:t>
      </w:r>
    </w:p>
    <w:p w14:paraId="39D6D6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一、预防性维保工作内容</w:t>
      </w:r>
    </w:p>
    <w:p w14:paraId="1AA64F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1、中央空调主机：一年开展2次集中维护保养（冷暖换季各一次）</w:t>
      </w:r>
    </w:p>
    <w:p w14:paraId="48959F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1）检查机组控制系统，并提供机组运行状况、安全/控制设定及报警记录等的报告；</w:t>
      </w:r>
    </w:p>
    <w:p w14:paraId="588994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2）检查操作和安全控制器的工作情况，如有必要则进行调校；</w:t>
      </w:r>
    </w:p>
    <w:p w14:paraId="6BEC3F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3）主机组系统检漏；</w:t>
      </w:r>
    </w:p>
    <w:p w14:paraId="157A66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4）检查及清理主机马达起动器及触点；</w:t>
      </w:r>
    </w:p>
    <w:p w14:paraId="7AC78B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5）检查机组及设备状态；</w:t>
      </w:r>
    </w:p>
    <w:p w14:paraId="30B358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6）对压缩机油位、油质分析判断，必要时提出更换；</w:t>
      </w:r>
    </w:p>
    <w:p w14:paraId="55F51D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7）观测机组运行水质状况；</w:t>
      </w:r>
    </w:p>
    <w:p w14:paraId="367AFD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8）测量压缩机吸气、排气温度；</w:t>
      </w:r>
    </w:p>
    <w:p w14:paraId="5CE0B5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9)全面检查机组安全保护装置是否正常；</w:t>
      </w:r>
    </w:p>
    <w:p w14:paraId="13B366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10)负责机组保温层的修复，并根据机组情况进行外保养；</w:t>
      </w:r>
    </w:p>
    <w:p w14:paraId="374723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11)测试主机马达绝缘情况及运行电流；</w:t>
      </w:r>
    </w:p>
    <w:p w14:paraId="181D56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12)清理起动柜及检查各主线接口是否牢靠；</w:t>
      </w:r>
    </w:p>
    <w:p w14:paraId="4B2124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13)测量控制回路的电压及变压器温升情况；</w:t>
      </w:r>
    </w:p>
    <w:p w14:paraId="363E9F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14)机械清洗机组冷凝器。</w:t>
      </w:r>
    </w:p>
    <w:p w14:paraId="60BAAC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2、中央空调主机日常巡检：每月常规检查不少于两次，每周巡查两次。</w:t>
      </w:r>
    </w:p>
    <w:p w14:paraId="161E53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1)检查主机起动触点及控制器装置；</w:t>
      </w:r>
    </w:p>
    <w:p w14:paraId="2F7F09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2)测试主机马达绝缘情况及运行电流；</w:t>
      </w:r>
    </w:p>
    <w:p w14:paraId="5DAEBE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3)清理起动柜及检查主线接口牢固程度；</w:t>
      </w:r>
    </w:p>
    <w:p w14:paraId="685EB6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4)检查润滑油油质油位，如需要及时提出；</w:t>
      </w:r>
    </w:p>
    <w:p w14:paraId="4F7CCB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5)测量控制回路的电压及变压器温升情况；</w:t>
      </w:r>
    </w:p>
    <w:p w14:paraId="142C14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6)测量冷冻水进出机组的温差是否正常；</w:t>
      </w:r>
    </w:p>
    <w:p w14:paraId="26FA89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7)检查油箱电加热器工作情况；</w:t>
      </w:r>
    </w:p>
    <w:p w14:paraId="1400DC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8)测试机组水流开关或压差开关的工作情况；</w:t>
      </w:r>
    </w:p>
    <w:p w14:paraId="5B9077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 在机组运行期间，检查机组输入电流与运行工况负荷是否相一致；</w:t>
      </w:r>
    </w:p>
    <w:p w14:paraId="1B6C0E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10)对机组保温材料破损处进行修补。</w:t>
      </w:r>
    </w:p>
    <w:p w14:paraId="5832F8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3、末端设备清洗保养要求</w:t>
      </w:r>
    </w:p>
    <w:p w14:paraId="59B375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中央空调所有新风机、风机盘管末端进出风口每年清洗2次；末端蒸发器每年清洗1次，中央空调循环水更换1次；分体式空调和精密空调冷凝器、过滤网每年清洗1次。</w:t>
      </w:r>
    </w:p>
    <w:p w14:paraId="1CCA95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4、维保档案管理要求</w:t>
      </w:r>
    </w:p>
    <w:p w14:paraId="4355B8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所有维保均要有纸质记录档案，定期向采购人提交档案记录，每年提供维护报告表，每月常规检查表，每周巡查表及所有的清洗记录。</w:t>
      </w:r>
    </w:p>
    <w:p w14:paraId="0F08B4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二、</w:t>
      </w:r>
      <w:r>
        <w:rPr>
          <w:rFonts w:hint="eastAsia" w:ascii="仿宋" w:hAnsi="仿宋" w:eastAsia="仿宋" w:cs="仿宋"/>
          <w:sz w:val="32"/>
          <w:szCs w:val="32"/>
        </w:rPr>
        <w:t>维修和其他要求</w:t>
      </w:r>
    </w:p>
    <w:p w14:paraId="218253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1）维修分为预防性检修、故障排除。预防性检修是指在运行过程中，为防止故障发生所采取的具体措施。除压缩机、冷凝器、蒸发器、节流电子阀等主要部件损坏外，其他故障均在中标人服务范围之内。</w:t>
      </w:r>
    </w:p>
    <w:p w14:paraId="53AB56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2）中央空调系统及分体式空调发生故障，中标人接报修电话通知后1小时内到达现场；小修12小时修复完毕；大修依据具体情况确定，并提供应急方案以保障医疗秩序的正常运转。</w:t>
      </w:r>
    </w:p>
    <w:p w14:paraId="4C3E94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中标人按照合同约定的具体内容和标准进行设备保养及日常维护，日常维护中更换单件200元以下的零配件费用包含在全年维保费中，单件200元以上（含）费用由中标人以书面形式报招标人，招标人根据具体情况决定，配件可自行采购也可以委托中标人采购。中标人必须严格执行国家现行有效的质量标准和提供合格的维护保养工作；所用零配件必须为未使用过的新零配件，由于所用零配件质量问题所造成的损失由中标人负责。</w:t>
      </w:r>
    </w:p>
    <w:p w14:paraId="247BA5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报价要求：各投标人根据现场勘查的实际情况进行投标报价，以一年总费用为准，费用总报价中需包含空调系统运行和维保、人工费、材料费（单价200以下）等一切费用，招标人不承担中标价以外的任何费用（双方另有约定的除外）。</w:t>
      </w:r>
    </w:p>
    <w:p w14:paraId="18F0B12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4E21C03D">
      <w:pPr>
        <w:pStyle w:val="2"/>
        <w:rPr>
          <w:rFonts w:hint="eastAsia" w:ascii="仿宋" w:hAnsi="仿宋" w:eastAsia="仿宋" w:cs="仿宋"/>
          <w:sz w:val="32"/>
          <w:szCs w:val="32"/>
        </w:rPr>
      </w:pPr>
    </w:p>
    <w:p w14:paraId="7A633331">
      <w:pPr>
        <w:rPr>
          <w:rFonts w:hint="eastAsia" w:ascii="仿宋" w:hAnsi="仿宋" w:eastAsia="仿宋" w:cs="仿宋"/>
          <w:sz w:val="32"/>
          <w:szCs w:val="32"/>
        </w:rPr>
      </w:pPr>
    </w:p>
    <w:p w14:paraId="0AC639BC">
      <w:pPr>
        <w:pStyle w:val="2"/>
        <w:rPr>
          <w:rFonts w:hint="eastAsia" w:ascii="仿宋" w:hAnsi="仿宋" w:eastAsia="仿宋" w:cs="仿宋"/>
          <w:sz w:val="32"/>
          <w:szCs w:val="32"/>
        </w:rPr>
      </w:pPr>
    </w:p>
    <w:p w14:paraId="4FCFD5BD">
      <w:pPr>
        <w:rPr>
          <w:rFonts w:hint="eastAsia" w:ascii="仿宋" w:hAnsi="仿宋" w:eastAsia="仿宋" w:cs="仿宋"/>
          <w:sz w:val="32"/>
          <w:szCs w:val="32"/>
        </w:rPr>
      </w:pPr>
    </w:p>
    <w:p w14:paraId="0F7E956A">
      <w:pPr>
        <w:pStyle w:val="2"/>
        <w:rPr>
          <w:rFonts w:hint="eastAsia" w:ascii="仿宋" w:hAnsi="仿宋" w:eastAsia="仿宋" w:cs="仿宋"/>
          <w:sz w:val="32"/>
          <w:szCs w:val="32"/>
        </w:rPr>
      </w:pPr>
    </w:p>
    <w:p w14:paraId="15A2B69B">
      <w:pPr>
        <w:rPr>
          <w:rFonts w:hint="eastAsia" w:ascii="仿宋" w:hAnsi="仿宋" w:eastAsia="仿宋" w:cs="仿宋"/>
          <w:sz w:val="32"/>
          <w:szCs w:val="32"/>
        </w:rPr>
      </w:pPr>
    </w:p>
    <w:p w14:paraId="39B9B432">
      <w:pPr>
        <w:pStyle w:val="2"/>
        <w:rPr>
          <w:rFonts w:hint="eastAsia" w:ascii="仿宋" w:hAnsi="仿宋" w:eastAsia="仿宋" w:cs="仿宋"/>
          <w:sz w:val="32"/>
          <w:szCs w:val="32"/>
        </w:rPr>
      </w:pPr>
    </w:p>
    <w:p w14:paraId="711743C9">
      <w:pPr>
        <w:rPr>
          <w:rFonts w:hint="eastAsia" w:ascii="仿宋" w:hAnsi="仿宋" w:eastAsia="仿宋" w:cs="仿宋"/>
          <w:sz w:val="32"/>
          <w:szCs w:val="32"/>
        </w:rPr>
      </w:pPr>
    </w:p>
    <w:p w14:paraId="4665E157">
      <w:pPr>
        <w:rPr>
          <w:rFonts w:hint="eastAsia"/>
        </w:rPr>
      </w:pPr>
    </w:p>
    <w:p w14:paraId="1FC6FA8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bCs/>
          <w:sz w:val="32"/>
          <w:szCs w:val="32"/>
        </w:rPr>
      </w:pPr>
      <w:r>
        <w:rPr>
          <w:rFonts w:hint="eastAsia" w:ascii="仿宋" w:hAnsi="仿宋" w:eastAsia="仿宋" w:cs="仿宋"/>
          <w:b/>
          <w:bCs/>
          <w:sz w:val="32"/>
          <w:szCs w:val="32"/>
        </w:rPr>
        <w:t>附件3：供应商报价表模板</w:t>
      </w:r>
    </w:p>
    <w:p w14:paraId="273217B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36"/>
          <w:szCs w:val="36"/>
        </w:rPr>
      </w:pPr>
      <w:r>
        <w:rPr>
          <w:rFonts w:hint="eastAsia" w:ascii="仿宋" w:hAnsi="仿宋" w:eastAsia="仿宋" w:cs="仿宋"/>
          <w:b/>
          <w:bCs/>
          <w:sz w:val="36"/>
          <w:szCs w:val="36"/>
        </w:rPr>
        <w:t>黄山市第三人民医院空调系统年度维保项目报价表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118"/>
        <w:gridCol w:w="3416"/>
        <w:gridCol w:w="2043"/>
      </w:tblGrid>
      <w:tr w14:paraId="79A70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noWrap w:val="0"/>
            <w:vAlign w:val="center"/>
          </w:tcPr>
          <w:p w14:paraId="034E37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序号</w:t>
            </w:r>
          </w:p>
        </w:tc>
        <w:tc>
          <w:tcPr>
            <w:tcW w:w="2118" w:type="dxa"/>
            <w:noWrap w:val="0"/>
            <w:vAlign w:val="center"/>
          </w:tcPr>
          <w:p w14:paraId="7552DD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项目内容</w:t>
            </w:r>
          </w:p>
        </w:tc>
        <w:tc>
          <w:tcPr>
            <w:tcW w:w="3416" w:type="dxa"/>
            <w:noWrap w:val="0"/>
            <w:vAlign w:val="center"/>
          </w:tcPr>
          <w:p w14:paraId="25C49D6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报价金额（元）</w:t>
            </w:r>
          </w:p>
        </w:tc>
        <w:tc>
          <w:tcPr>
            <w:tcW w:w="2043" w:type="dxa"/>
            <w:noWrap w:val="0"/>
            <w:vAlign w:val="center"/>
          </w:tcPr>
          <w:p w14:paraId="454861E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备注</w:t>
            </w:r>
          </w:p>
        </w:tc>
      </w:tr>
      <w:tr w14:paraId="164D8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noWrap w:val="0"/>
            <w:vAlign w:val="center"/>
          </w:tcPr>
          <w:p w14:paraId="5EB7250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w:t>
            </w:r>
          </w:p>
        </w:tc>
        <w:tc>
          <w:tcPr>
            <w:tcW w:w="2118" w:type="dxa"/>
            <w:noWrap w:val="0"/>
            <w:vAlign w:val="center"/>
          </w:tcPr>
          <w:p w14:paraId="4829639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vertAlign w:val="baseline"/>
              </w:rPr>
            </w:pPr>
            <w:r>
              <w:rPr>
                <w:rFonts w:hint="eastAsia" w:ascii="仿宋" w:hAnsi="仿宋" w:eastAsia="仿宋" w:cs="仿宋"/>
                <w:sz w:val="32"/>
                <w:szCs w:val="32"/>
              </w:rPr>
              <w:t>全院空调系统1年维保服务</w:t>
            </w:r>
          </w:p>
        </w:tc>
        <w:tc>
          <w:tcPr>
            <w:tcW w:w="3416" w:type="dxa"/>
            <w:noWrap w:val="0"/>
            <w:vAlign w:val="center"/>
          </w:tcPr>
          <w:p w14:paraId="799FBE1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rPr>
            </w:pPr>
            <w:r>
              <w:rPr>
                <w:rFonts w:hint="eastAsia" w:ascii="仿宋" w:hAnsi="仿宋" w:eastAsia="仿宋" w:cs="仿宋"/>
                <w:sz w:val="32"/>
                <w:szCs w:val="32"/>
              </w:rPr>
              <w:t>总价 ￥________</w:t>
            </w:r>
          </w:p>
          <w:p w14:paraId="33DC5B0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rPr>
            </w:pPr>
            <w:r>
              <w:rPr>
                <w:rFonts w:hint="eastAsia" w:ascii="仿宋" w:hAnsi="仿宋" w:eastAsia="仿宋" w:cs="仿宋"/>
                <w:sz w:val="32"/>
                <w:szCs w:val="32"/>
              </w:rPr>
              <w:t>大写：</w:t>
            </w:r>
          </w:p>
          <w:p w14:paraId="18F6E3C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vertAlign w:val="baseline"/>
              </w:rPr>
            </w:pPr>
            <w:r>
              <w:rPr>
                <w:rFonts w:hint="eastAsia" w:ascii="仿宋" w:hAnsi="仿宋" w:eastAsia="仿宋" w:cs="仿宋"/>
                <w:sz w:val="32"/>
                <w:szCs w:val="32"/>
              </w:rPr>
              <w:t>____________________</w:t>
            </w:r>
          </w:p>
        </w:tc>
        <w:tc>
          <w:tcPr>
            <w:tcW w:w="2043" w:type="dxa"/>
            <w:noWrap w:val="0"/>
            <w:vAlign w:val="center"/>
          </w:tcPr>
          <w:p w14:paraId="6F9064A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rPr>
            </w:pPr>
            <w:r>
              <w:rPr>
                <w:rFonts w:hint="eastAsia" w:ascii="仿宋" w:hAnsi="仿宋" w:eastAsia="仿宋" w:cs="仿宋"/>
                <w:sz w:val="32"/>
                <w:szCs w:val="32"/>
              </w:rPr>
              <w:t>包含：人工、巡检、换季保养、清洗、单价200元以下零配件、差旅、税费、维保台账资料等全部费用</w:t>
            </w:r>
          </w:p>
          <w:p w14:paraId="16D7620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不含：单件≥200元配件、压缩机/冷凝器/蒸发器/电子节流阀等核心大件 </w:t>
            </w:r>
          </w:p>
          <w:p w14:paraId="0716E21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vertAlign w:val="baseline"/>
              </w:rPr>
            </w:pPr>
          </w:p>
        </w:tc>
      </w:tr>
    </w:tbl>
    <w:p w14:paraId="2F7F332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7306093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087E611B">
      <w:pPr>
        <w:pStyle w:val="2"/>
        <w:rPr>
          <w:rFonts w:hint="eastAsia" w:ascii="仿宋" w:hAnsi="仿宋" w:eastAsia="仿宋" w:cs="仿宋"/>
          <w:sz w:val="32"/>
          <w:szCs w:val="32"/>
        </w:rPr>
      </w:pPr>
    </w:p>
    <w:p w14:paraId="0D3ACE86">
      <w:pPr>
        <w:rPr>
          <w:rFonts w:hint="eastAsia" w:ascii="仿宋" w:hAnsi="仿宋" w:eastAsia="仿宋" w:cs="仿宋"/>
          <w:sz w:val="32"/>
          <w:szCs w:val="32"/>
        </w:rPr>
      </w:pPr>
    </w:p>
    <w:p w14:paraId="191A838B">
      <w:pPr>
        <w:pStyle w:val="2"/>
        <w:rPr>
          <w:rFonts w:hint="eastAsia"/>
        </w:rPr>
      </w:pPr>
    </w:p>
    <w:p w14:paraId="6EA20162">
      <w:pPr>
        <w:pStyle w:val="2"/>
        <w:rPr>
          <w:rFonts w:hint="eastAsia"/>
        </w:rPr>
      </w:pPr>
    </w:p>
    <w:p w14:paraId="0F3E6CC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44"/>
          <w:szCs w:val="44"/>
        </w:rPr>
      </w:pPr>
      <w:r>
        <w:rPr>
          <w:rFonts w:hint="eastAsia" w:ascii="仿宋" w:hAnsi="仿宋" w:eastAsia="仿宋" w:cs="仿宋"/>
          <w:b/>
          <w:bCs/>
          <w:sz w:val="44"/>
          <w:szCs w:val="44"/>
        </w:rPr>
        <w:t>服务承诺</w:t>
      </w:r>
    </w:p>
    <w:p w14:paraId="19CE7B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（供应商填写并加盖公章）</w:t>
      </w:r>
    </w:p>
    <w:p w14:paraId="336F91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1.完全响应本询价公告及附件全部维保服务要求，严格按照技术条款开展全年维保工作；</w:t>
      </w:r>
    </w:p>
    <w:p w14:paraId="0E095D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2.接到故障报修1小时内到场处置，小故障12小时内修复；</w:t>
      </w:r>
    </w:p>
    <w:p w14:paraId="048244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3.维保期间按要求提交巡检记录、清洗记录、年度维保总结报告；</w:t>
      </w:r>
    </w:p>
    <w:p w14:paraId="104C0D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4.本报价为一次性闭口包干价，服务周期1年。</w:t>
      </w:r>
    </w:p>
    <w:p w14:paraId="1D7C4F9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64FC825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供应商名称（加盖公章）：________________________</w:t>
      </w:r>
    </w:p>
    <w:p w14:paraId="17F8353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法定代表人/授权代表签字：________________________</w:t>
      </w:r>
    </w:p>
    <w:p w14:paraId="3CD1FD6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联系电话：____________________________________</w:t>
      </w:r>
    </w:p>
    <w:p w14:paraId="0EFA2B5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日期：_______年____月____日</w:t>
      </w:r>
    </w:p>
    <w:p w14:paraId="62280113">
      <w:bookmarkStart w:id="0" w:name="_GoBack"/>
      <w:bookmarkEnd w:id="0"/>
    </w:p>
    <w:sectPr>
      <w:pgSz w:w="11906" w:h="16838"/>
      <w:pgMar w:top="1587" w:right="1587" w:bottom="1587"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302020203020207"/>
    <w:charset w:val="01"/>
    <w:family w:val="swiss"/>
    <w:pitch w:val="default"/>
    <w:sig w:usb0="E1000AFF" w:usb1="0000FDFF" w:usb2="00000000"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0A016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w:basedOn w:val="1"/>
    <w:next w:val="1"/>
    <w:qFormat/>
    <w:uiPriority w:val="99"/>
    <w:pPr>
      <w:ind w:firstLine="645"/>
    </w:pPr>
    <w:rPr>
      <w:rFonts w:ascii="Arial" w:hAnsi="Arial"/>
      <w:sz w:val="28"/>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HP</cp:lastModifiedBy>
  <dcterms:modified xsi:type="dcterms:W3CDTF">2026-10-08T09:03:21Z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CCDB86DA74C549C7999C2F3CA0ED2904_12</vt:lpwstr>
  </property>
</Properties>
</file>